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781" w:beforeLines="250" w:line="36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2024年湖南省“文化传承创新与建设中华民族现代文明”</w:t>
      </w:r>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研究生暑期学校结业论文获奖名单</w:t>
      </w:r>
    </w:p>
    <w:p>
      <w:pPr>
        <w:keepNext w:val="0"/>
        <w:keepLines w:val="0"/>
        <w:pageBreakBefore w:val="0"/>
        <w:widowControl w:val="0"/>
        <w:kinsoku/>
        <w:wordWrap/>
        <w:overflowPunct/>
        <w:topLinePunct w:val="0"/>
        <w:autoSpaceDE/>
        <w:autoSpaceDN/>
        <w:bidi w:val="0"/>
        <w:adjustRightInd/>
        <w:snapToGrid/>
        <w:spacing w:before="469" w:beforeLines="150" w:after="313" w:afterLines="100" w:line="360" w:lineRule="auto"/>
        <w:ind w:firstLine="560" w:firstLineChars="200"/>
        <w:textAlignment w:val="auto"/>
        <w:rPr>
          <w:rFonts w:hint="eastAsia" w:ascii="宋体" w:hAnsi="宋体" w:eastAsia="宋体" w:cs="宋体"/>
          <w:sz w:val="28"/>
          <w:szCs w:val="28"/>
        </w:rPr>
      </w:pPr>
      <w:bookmarkStart w:id="0" w:name="_GoBack"/>
      <w:r>
        <w:rPr>
          <w:rFonts w:hint="eastAsia" w:ascii="宋体" w:hAnsi="宋体" w:eastAsia="宋体" w:cs="宋体"/>
          <w:sz w:val="28"/>
          <w:szCs w:val="28"/>
        </w:rPr>
        <w:t>根据湖南科技大学2024年“文化传承创新与建设中华民族现代文明”湖南省研究生暑期学校招生简章有关规定及要求，经</w:t>
      </w:r>
      <w:r>
        <w:rPr>
          <w:rFonts w:hint="eastAsia" w:ascii="宋体" w:hAnsi="宋体" w:eastAsia="宋体" w:cs="宋体"/>
          <w:sz w:val="28"/>
          <w:szCs w:val="28"/>
          <w:lang w:val="en-US" w:eastAsia="zh-CN"/>
        </w:rPr>
        <w:t>专家评定，</w:t>
      </w:r>
      <w:r>
        <w:rPr>
          <w:rFonts w:hint="eastAsia" w:ascii="宋体" w:hAnsi="宋体" w:eastAsia="宋体" w:cs="宋体"/>
          <w:i w:val="0"/>
          <w:caps w:val="0"/>
          <w:color w:val="auto"/>
          <w:spacing w:val="0"/>
          <w:sz w:val="28"/>
          <w:szCs w:val="28"/>
          <w:shd w:val="clear" w:fill="FFFFFF"/>
          <w:lang w:val="en-US" w:eastAsia="zh-CN"/>
        </w:rPr>
        <w:t>曾铮《审美幻象与中国美学“空”的跨文化对话》等</w:t>
      </w:r>
      <w:r>
        <w:rPr>
          <w:rFonts w:hint="eastAsia" w:ascii="宋体" w:hAnsi="宋体" w:eastAsia="宋体" w:cs="宋体"/>
          <w:i w:val="0"/>
          <w:caps w:val="0"/>
          <w:color w:val="auto"/>
          <w:spacing w:val="0"/>
          <w:sz w:val="28"/>
          <w:szCs w:val="28"/>
          <w:shd w:val="clear" w:fill="FFFFFF"/>
        </w:rPr>
        <w:t>24篇</w:t>
      </w:r>
      <w:r>
        <w:rPr>
          <w:rFonts w:hint="eastAsia" w:ascii="宋体" w:hAnsi="宋体" w:eastAsia="宋体" w:cs="宋体"/>
          <w:i w:val="0"/>
          <w:caps w:val="0"/>
          <w:color w:val="auto"/>
          <w:spacing w:val="0"/>
          <w:sz w:val="28"/>
          <w:szCs w:val="28"/>
          <w:shd w:val="clear" w:fill="FFFFFF"/>
          <w:lang w:val="en-US" w:eastAsia="zh-CN"/>
        </w:rPr>
        <w:t>论文被评选为优秀论文</w:t>
      </w:r>
      <w:r>
        <w:rPr>
          <w:rFonts w:hint="eastAsia" w:ascii="宋体" w:hAnsi="宋体" w:eastAsia="宋体" w:cs="宋体"/>
          <w:i w:val="0"/>
          <w:caps w:val="0"/>
          <w:color w:val="auto"/>
          <w:spacing w:val="0"/>
          <w:sz w:val="28"/>
          <w:szCs w:val="28"/>
          <w:shd w:val="clear" w:fill="FFFFFF"/>
          <w:lang w:eastAsia="zh-CN"/>
        </w:rPr>
        <w:t>，</w:t>
      </w:r>
      <w:r>
        <w:rPr>
          <w:rFonts w:hint="eastAsia" w:ascii="宋体" w:hAnsi="宋体" w:eastAsia="宋体" w:cs="宋体"/>
          <w:i w:val="0"/>
          <w:caps w:val="0"/>
          <w:color w:val="auto"/>
          <w:spacing w:val="0"/>
          <w:sz w:val="28"/>
          <w:szCs w:val="28"/>
          <w:shd w:val="clear" w:fill="FFFFFF"/>
          <w:lang w:val="en-US" w:eastAsia="zh-CN"/>
        </w:rPr>
        <w:t>其中一等奖7篇，二等奖10篇，三等奖7篇，</w:t>
      </w:r>
      <w:r>
        <w:rPr>
          <w:rFonts w:hint="eastAsia" w:ascii="宋体" w:hAnsi="宋体" w:eastAsia="宋体" w:cs="宋体"/>
          <w:sz w:val="28"/>
          <w:szCs w:val="28"/>
        </w:rPr>
        <w:t>现将名单予以公示。</w:t>
      </w:r>
    </w:p>
    <w:bookmarkEnd w:id="0"/>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970"/>
        <w:gridCol w:w="1680"/>
        <w:gridCol w:w="1670"/>
        <w:gridCol w:w="40"/>
        <w:gridCol w:w="3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6"/>
            <w:vAlign w:val="center"/>
          </w:tcPr>
          <w:p>
            <w:pPr>
              <w:spacing w:before="155" w:line="240" w:lineRule="auto"/>
              <w:ind w:firstLine="0" w:firstLineChars="0"/>
              <w:jc w:val="center"/>
              <w:rPr>
                <w:rFonts w:hint="default" w:ascii="Times New Roman" w:hAnsi="Times New Roman" w:eastAsia="仿宋" w:cs="Times New Roman"/>
                <w:snapToGrid/>
                <w:color w:val="auto"/>
                <w:sz w:val="24"/>
                <w:szCs w:val="24"/>
                <w:lang w:val="en-US" w:eastAsia="zh-CN"/>
              </w:rPr>
            </w:pPr>
            <w:r>
              <w:rPr>
                <w:rFonts w:hint="eastAsia" w:ascii="宋体" w:hAnsi="宋体" w:eastAsia="宋体" w:cs="宋体"/>
                <w:b/>
                <w:bCs/>
                <w:snapToGrid/>
                <w:color w:val="auto"/>
                <w:sz w:val="28"/>
                <w:szCs w:val="28"/>
                <w:lang w:val="en-US"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7"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序号</w:t>
            </w:r>
          </w:p>
        </w:tc>
        <w:tc>
          <w:tcPr>
            <w:tcW w:w="569"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姓名</w:t>
            </w:r>
          </w:p>
        </w:tc>
        <w:tc>
          <w:tcPr>
            <w:tcW w:w="986"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学校</w:t>
            </w:r>
          </w:p>
        </w:tc>
        <w:tc>
          <w:tcPr>
            <w:tcW w:w="1003" w:type="pct"/>
            <w:gridSpan w:val="2"/>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专业</w:t>
            </w:r>
          </w:p>
        </w:tc>
        <w:tc>
          <w:tcPr>
            <w:tcW w:w="2153" w:type="pct"/>
            <w:vAlign w:val="center"/>
          </w:tcPr>
          <w:p>
            <w:pPr>
              <w:spacing w:before="155" w:line="240" w:lineRule="auto"/>
              <w:ind w:firstLine="0" w:firstLineChars="0"/>
              <w:jc w:val="center"/>
              <w:rPr>
                <w:rFonts w:hint="default"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7"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1</w:t>
            </w:r>
          </w:p>
        </w:tc>
        <w:tc>
          <w:tcPr>
            <w:tcW w:w="569"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张佳益</w:t>
            </w:r>
          </w:p>
        </w:tc>
        <w:tc>
          <w:tcPr>
            <w:tcW w:w="986"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中国矿业大学</w:t>
            </w:r>
          </w:p>
        </w:tc>
        <w:tc>
          <w:tcPr>
            <w:tcW w:w="1003" w:type="pct"/>
            <w:gridSpan w:val="2"/>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中国古代文学</w:t>
            </w:r>
          </w:p>
        </w:tc>
        <w:tc>
          <w:tcPr>
            <w:tcW w:w="2153"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文化传承的现代转型：跨学科探索与学术实践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7" w:type="pct"/>
            <w:vAlign w:val="center"/>
          </w:tcPr>
          <w:p>
            <w:pPr>
              <w:spacing w:before="155" w:line="240" w:lineRule="auto"/>
              <w:ind w:firstLine="0" w:firstLineChars="0"/>
              <w:jc w:val="center"/>
              <w:rPr>
                <w:rFonts w:hint="default"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2</w:t>
            </w:r>
          </w:p>
        </w:tc>
        <w:tc>
          <w:tcPr>
            <w:tcW w:w="569"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何佳丽</w:t>
            </w:r>
          </w:p>
        </w:tc>
        <w:tc>
          <w:tcPr>
            <w:tcW w:w="986"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湖南科技大学</w:t>
            </w:r>
          </w:p>
        </w:tc>
        <w:tc>
          <w:tcPr>
            <w:tcW w:w="1003" w:type="pct"/>
            <w:gridSpan w:val="2"/>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新闻与传播</w:t>
            </w:r>
          </w:p>
        </w:tc>
        <w:tc>
          <w:tcPr>
            <w:tcW w:w="2153"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数字叙事视域下中国传统音乐跨文化传播策略研究——基于对YouTube“自得琴社”的分析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7"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3</w:t>
            </w:r>
          </w:p>
        </w:tc>
        <w:tc>
          <w:tcPr>
            <w:tcW w:w="569"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曾铮</w:t>
            </w:r>
          </w:p>
        </w:tc>
        <w:tc>
          <w:tcPr>
            <w:tcW w:w="986"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中南大学</w:t>
            </w:r>
          </w:p>
        </w:tc>
        <w:tc>
          <w:tcPr>
            <w:tcW w:w="1003" w:type="pct"/>
            <w:gridSpan w:val="2"/>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中国语言文学</w:t>
            </w:r>
          </w:p>
        </w:tc>
        <w:tc>
          <w:tcPr>
            <w:tcW w:w="2153"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审美幻象与中国美学“空”的跨文化对话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7"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4</w:t>
            </w:r>
          </w:p>
        </w:tc>
        <w:tc>
          <w:tcPr>
            <w:tcW w:w="569"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杜萌</w:t>
            </w:r>
          </w:p>
        </w:tc>
        <w:tc>
          <w:tcPr>
            <w:tcW w:w="986"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华南师范大学</w:t>
            </w:r>
          </w:p>
        </w:tc>
        <w:tc>
          <w:tcPr>
            <w:tcW w:w="1003" w:type="pct"/>
            <w:gridSpan w:val="2"/>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中国史</w:t>
            </w:r>
          </w:p>
        </w:tc>
        <w:tc>
          <w:tcPr>
            <w:tcW w:w="2153"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由“存亡”到“复兴”——浅谈抗战历史文化在当代中国的表现与发展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7"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5</w:t>
            </w:r>
          </w:p>
        </w:tc>
        <w:tc>
          <w:tcPr>
            <w:tcW w:w="569"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胡荣锦</w:t>
            </w:r>
          </w:p>
        </w:tc>
        <w:tc>
          <w:tcPr>
            <w:tcW w:w="986"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湖南科技大学</w:t>
            </w:r>
          </w:p>
        </w:tc>
        <w:tc>
          <w:tcPr>
            <w:tcW w:w="1003" w:type="pct"/>
            <w:gridSpan w:val="2"/>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新闻与传播</w:t>
            </w:r>
          </w:p>
        </w:tc>
        <w:tc>
          <w:tcPr>
            <w:tcW w:w="2153"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数智化给国际传播带来的挑战与应对策略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7"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6</w:t>
            </w:r>
          </w:p>
        </w:tc>
        <w:tc>
          <w:tcPr>
            <w:tcW w:w="569"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王亚楠</w:t>
            </w:r>
          </w:p>
        </w:tc>
        <w:tc>
          <w:tcPr>
            <w:tcW w:w="986"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辽宁大学</w:t>
            </w:r>
          </w:p>
        </w:tc>
        <w:tc>
          <w:tcPr>
            <w:tcW w:w="1003" w:type="pct"/>
            <w:gridSpan w:val="2"/>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中国语言文学</w:t>
            </w:r>
          </w:p>
        </w:tc>
        <w:tc>
          <w:tcPr>
            <w:tcW w:w="2153"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习近平文化思想的鲜明特征及时代价值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7"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7</w:t>
            </w:r>
          </w:p>
        </w:tc>
        <w:tc>
          <w:tcPr>
            <w:tcW w:w="569"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胡碟</w:t>
            </w:r>
          </w:p>
        </w:tc>
        <w:tc>
          <w:tcPr>
            <w:tcW w:w="986"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湖南科技大学</w:t>
            </w:r>
          </w:p>
        </w:tc>
        <w:tc>
          <w:tcPr>
            <w:tcW w:w="1003" w:type="pct"/>
            <w:gridSpan w:val="2"/>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新闻与传播</w:t>
            </w:r>
          </w:p>
        </w:tc>
        <w:tc>
          <w:tcPr>
            <w:tcW w:w="2153"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人类文明新形态视域下传承中华优秀传统文化的实践进路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6"/>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宋体" w:hAnsi="宋体" w:eastAsia="宋体" w:cs="宋体"/>
                <w:b/>
                <w:bCs/>
                <w:snapToGrid/>
                <w:color w:val="auto"/>
                <w:sz w:val="28"/>
                <w:szCs w:val="28"/>
                <w:lang w:val="en-US" w:eastAsia="zh-CN"/>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7"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序号</w:t>
            </w:r>
          </w:p>
        </w:tc>
        <w:tc>
          <w:tcPr>
            <w:tcW w:w="569"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姓名</w:t>
            </w:r>
          </w:p>
        </w:tc>
        <w:tc>
          <w:tcPr>
            <w:tcW w:w="986"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学校</w:t>
            </w:r>
          </w:p>
        </w:tc>
        <w:tc>
          <w:tcPr>
            <w:tcW w:w="1003" w:type="pct"/>
            <w:gridSpan w:val="2"/>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专业</w:t>
            </w:r>
          </w:p>
        </w:tc>
        <w:tc>
          <w:tcPr>
            <w:tcW w:w="2153" w:type="pct"/>
            <w:vAlign w:val="center"/>
          </w:tcPr>
          <w:p>
            <w:pPr>
              <w:spacing w:before="155" w:line="240" w:lineRule="auto"/>
              <w:ind w:firstLine="0" w:firstLineChars="0"/>
              <w:jc w:val="center"/>
              <w:rPr>
                <w:rFonts w:hint="default"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7"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1</w:t>
            </w:r>
          </w:p>
        </w:tc>
        <w:tc>
          <w:tcPr>
            <w:tcW w:w="569"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张健</w:t>
            </w:r>
          </w:p>
        </w:tc>
        <w:tc>
          <w:tcPr>
            <w:tcW w:w="986"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贵州财经大学</w:t>
            </w:r>
          </w:p>
        </w:tc>
        <w:tc>
          <w:tcPr>
            <w:tcW w:w="1003" w:type="pct"/>
            <w:gridSpan w:val="2"/>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文艺学</w:t>
            </w:r>
          </w:p>
        </w:tc>
        <w:tc>
          <w:tcPr>
            <w:tcW w:w="2153"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西方现代性的危机与中国式现代化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7" w:type="pct"/>
            <w:vAlign w:val="center"/>
          </w:tcPr>
          <w:p>
            <w:pPr>
              <w:spacing w:before="155" w:line="240" w:lineRule="auto"/>
              <w:ind w:firstLine="0" w:firstLineChars="0"/>
              <w:jc w:val="center"/>
              <w:rPr>
                <w:rFonts w:hint="default"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2</w:t>
            </w:r>
          </w:p>
        </w:tc>
        <w:tc>
          <w:tcPr>
            <w:tcW w:w="569"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张钰仪</w:t>
            </w:r>
          </w:p>
        </w:tc>
        <w:tc>
          <w:tcPr>
            <w:tcW w:w="986"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湖南科技大学</w:t>
            </w:r>
          </w:p>
        </w:tc>
        <w:tc>
          <w:tcPr>
            <w:tcW w:w="1003" w:type="pct"/>
            <w:gridSpan w:val="2"/>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教育学</w:t>
            </w:r>
          </w:p>
        </w:tc>
        <w:tc>
          <w:tcPr>
            <w:tcW w:w="2153"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湖湘文化的当代德育价值：优秀传统文化与新时代精神的耦合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7" w:type="pct"/>
            <w:vAlign w:val="center"/>
          </w:tcPr>
          <w:p>
            <w:pPr>
              <w:spacing w:before="155" w:line="240" w:lineRule="auto"/>
              <w:ind w:firstLine="0" w:firstLineChars="0"/>
              <w:jc w:val="center"/>
              <w:rPr>
                <w:rFonts w:hint="default"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3</w:t>
            </w:r>
          </w:p>
        </w:tc>
        <w:tc>
          <w:tcPr>
            <w:tcW w:w="569"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王彤</w:t>
            </w:r>
          </w:p>
        </w:tc>
        <w:tc>
          <w:tcPr>
            <w:tcW w:w="986"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湖南科技大学</w:t>
            </w:r>
          </w:p>
        </w:tc>
        <w:tc>
          <w:tcPr>
            <w:tcW w:w="1003" w:type="pct"/>
            <w:gridSpan w:val="2"/>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中国史</w:t>
            </w:r>
          </w:p>
        </w:tc>
        <w:tc>
          <w:tcPr>
            <w:tcW w:w="2153"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文化传承创新与建设中华民族现代文明：微观史学视角下的探索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7"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4</w:t>
            </w:r>
          </w:p>
        </w:tc>
        <w:tc>
          <w:tcPr>
            <w:tcW w:w="569"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郭佩佩</w:t>
            </w:r>
          </w:p>
        </w:tc>
        <w:tc>
          <w:tcPr>
            <w:tcW w:w="986"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宁夏大学</w:t>
            </w:r>
          </w:p>
        </w:tc>
        <w:tc>
          <w:tcPr>
            <w:tcW w:w="1003" w:type="pct"/>
            <w:gridSpan w:val="2"/>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中国语言文学</w:t>
            </w:r>
          </w:p>
        </w:tc>
        <w:tc>
          <w:tcPr>
            <w:tcW w:w="2153"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女性文学微光：共绘中华现代文明新画卷——围绕硕士学位论文的思考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7" w:type="pct"/>
            <w:vAlign w:val="center"/>
          </w:tcPr>
          <w:p>
            <w:pPr>
              <w:spacing w:before="155" w:line="240" w:lineRule="auto"/>
              <w:ind w:firstLine="0" w:firstLineChars="0"/>
              <w:jc w:val="center"/>
              <w:rPr>
                <w:rFonts w:hint="default"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5</w:t>
            </w:r>
          </w:p>
        </w:tc>
        <w:tc>
          <w:tcPr>
            <w:tcW w:w="569"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刘旭</w:t>
            </w:r>
          </w:p>
        </w:tc>
        <w:tc>
          <w:tcPr>
            <w:tcW w:w="986"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长沙理工大学</w:t>
            </w:r>
          </w:p>
        </w:tc>
        <w:tc>
          <w:tcPr>
            <w:tcW w:w="1003" w:type="pct"/>
            <w:gridSpan w:val="2"/>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中国语言文学</w:t>
            </w:r>
          </w:p>
        </w:tc>
        <w:tc>
          <w:tcPr>
            <w:tcW w:w="2153"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中国古代文化传承创新的民族观与现代观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7"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6</w:t>
            </w:r>
          </w:p>
        </w:tc>
        <w:tc>
          <w:tcPr>
            <w:tcW w:w="569"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高汝琼</w:t>
            </w:r>
          </w:p>
        </w:tc>
        <w:tc>
          <w:tcPr>
            <w:tcW w:w="986"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湖南科技大学</w:t>
            </w:r>
          </w:p>
        </w:tc>
        <w:tc>
          <w:tcPr>
            <w:tcW w:w="1003" w:type="pct"/>
            <w:gridSpan w:val="2"/>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学科语文</w:t>
            </w:r>
          </w:p>
        </w:tc>
        <w:tc>
          <w:tcPr>
            <w:tcW w:w="2153"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中小学优秀传统文化教育的重点与方法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7" w:type="pct"/>
            <w:vAlign w:val="center"/>
          </w:tcPr>
          <w:p>
            <w:pPr>
              <w:spacing w:before="155" w:line="240" w:lineRule="auto"/>
              <w:ind w:firstLine="0" w:firstLineChars="0"/>
              <w:jc w:val="both"/>
              <w:rPr>
                <w:rFonts w:hint="default"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7</w:t>
            </w:r>
          </w:p>
        </w:tc>
        <w:tc>
          <w:tcPr>
            <w:tcW w:w="569"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何丹煜</w:t>
            </w:r>
          </w:p>
        </w:tc>
        <w:tc>
          <w:tcPr>
            <w:tcW w:w="986"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湖南师范大学</w:t>
            </w:r>
          </w:p>
        </w:tc>
        <w:tc>
          <w:tcPr>
            <w:tcW w:w="1003" w:type="pct"/>
            <w:gridSpan w:val="2"/>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课程与教学论</w:t>
            </w:r>
          </w:p>
        </w:tc>
        <w:tc>
          <w:tcPr>
            <w:tcW w:w="2153"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牵一发而动全身----浅析语文教材传承与创新文化的启示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7"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8</w:t>
            </w:r>
          </w:p>
        </w:tc>
        <w:tc>
          <w:tcPr>
            <w:tcW w:w="569"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张艳茹</w:t>
            </w:r>
          </w:p>
        </w:tc>
        <w:tc>
          <w:tcPr>
            <w:tcW w:w="986"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湖南科技大学</w:t>
            </w:r>
          </w:p>
        </w:tc>
        <w:tc>
          <w:tcPr>
            <w:tcW w:w="1003" w:type="pct"/>
            <w:gridSpan w:val="2"/>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新闻与传播</w:t>
            </w:r>
          </w:p>
        </w:tc>
        <w:tc>
          <w:tcPr>
            <w:tcW w:w="2153"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多元文化背景下传统文化传承与创新的研究启示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7"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9</w:t>
            </w:r>
          </w:p>
        </w:tc>
        <w:tc>
          <w:tcPr>
            <w:tcW w:w="569"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韩冬雨</w:t>
            </w:r>
          </w:p>
        </w:tc>
        <w:tc>
          <w:tcPr>
            <w:tcW w:w="986"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西北师范大学</w:t>
            </w:r>
          </w:p>
        </w:tc>
        <w:tc>
          <w:tcPr>
            <w:tcW w:w="1003" w:type="pct"/>
            <w:gridSpan w:val="2"/>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历史学</w:t>
            </w:r>
          </w:p>
        </w:tc>
        <w:tc>
          <w:tcPr>
            <w:tcW w:w="2153"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中华民族共同体意识构建与多元一体理论的意义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7" w:type="pct"/>
            <w:vAlign w:val="center"/>
          </w:tcPr>
          <w:p>
            <w:pPr>
              <w:spacing w:before="155" w:line="240" w:lineRule="auto"/>
              <w:ind w:firstLine="0" w:firstLineChars="0"/>
              <w:jc w:val="center"/>
              <w:rPr>
                <w:rFonts w:hint="default"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10</w:t>
            </w:r>
          </w:p>
        </w:tc>
        <w:tc>
          <w:tcPr>
            <w:tcW w:w="569"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伍草琴</w:t>
            </w:r>
          </w:p>
        </w:tc>
        <w:tc>
          <w:tcPr>
            <w:tcW w:w="986"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湘潭大学</w:t>
            </w:r>
          </w:p>
        </w:tc>
        <w:tc>
          <w:tcPr>
            <w:tcW w:w="1003" w:type="pct"/>
            <w:gridSpan w:val="2"/>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中国语言文学</w:t>
            </w:r>
          </w:p>
        </w:tc>
        <w:tc>
          <w:tcPr>
            <w:tcW w:w="2153"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论西安公共艺术的沿袭与创新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6"/>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宋体" w:hAnsi="宋体" w:eastAsia="宋体" w:cs="宋体"/>
                <w:b/>
                <w:bCs/>
                <w:snapToGrid/>
                <w:color w:val="auto"/>
                <w:sz w:val="28"/>
                <w:szCs w:val="28"/>
                <w:lang w:val="en-US" w:eastAsia="zh-CN"/>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7"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序号</w:t>
            </w:r>
          </w:p>
        </w:tc>
        <w:tc>
          <w:tcPr>
            <w:tcW w:w="569"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姓名</w:t>
            </w:r>
          </w:p>
        </w:tc>
        <w:tc>
          <w:tcPr>
            <w:tcW w:w="986"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学校</w:t>
            </w:r>
          </w:p>
        </w:tc>
        <w:tc>
          <w:tcPr>
            <w:tcW w:w="980"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专业</w:t>
            </w:r>
          </w:p>
        </w:tc>
        <w:tc>
          <w:tcPr>
            <w:tcW w:w="2176" w:type="pct"/>
            <w:gridSpan w:val="2"/>
            <w:vAlign w:val="center"/>
          </w:tcPr>
          <w:p>
            <w:pPr>
              <w:spacing w:before="155" w:line="240" w:lineRule="auto"/>
              <w:ind w:firstLine="0" w:firstLineChars="0"/>
              <w:jc w:val="center"/>
              <w:rPr>
                <w:rFonts w:hint="default"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7"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1</w:t>
            </w:r>
          </w:p>
        </w:tc>
        <w:tc>
          <w:tcPr>
            <w:tcW w:w="569"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田晓萌</w:t>
            </w:r>
          </w:p>
        </w:tc>
        <w:tc>
          <w:tcPr>
            <w:tcW w:w="986"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衡阳师范学院</w:t>
            </w:r>
          </w:p>
        </w:tc>
        <w:tc>
          <w:tcPr>
            <w:tcW w:w="980"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新闻与传播</w:t>
            </w:r>
          </w:p>
        </w:tc>
        <w:tc>
          <w:tcPr>
            <w:tcW w:w="2176" w:type="pct"/>
            <w:gridSpan w:val="2"/>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文明交流与互鉴的历史经验和中国智慧——以佛教文明在华传播为例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7" w:type="pct"/>
            <w:vAlign w:val="center"/>
          </w:tcPr>
          <w:p>
            <w:pPr>
              <w:spacing w:before="155" w:line="240" w:lineRule="auto"/>
              <w:ind w:firstLine="0" w:firstLineChars="0"/>
              <w:jc w:val="center"/>
              <w:rPr>
                <w:rFonts w:hint="default"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2</w:t>
            </w:r>
          </w:p>
        </w:tc>
        <w:tc>
          <w:tcPr>
            <w:tcW w:w="569"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李康为</w:t>
            </w:r>
          </w:p>
        </w:tc>
        <w:tc>
          <w:tcPr>
            <w:tcW w:w="986"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湖南科技大学</w:t>
            </w:r>
          </w:p>
        </w:tc>
        <w:tc>
          <w:tcPr>
            <w:tcW w:w="980"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新闻与传播</w:t>
            </w:r>
          </w:p>
        </w:tc>
        <w:tc>
          <w:tcPr>
            <w:tcW w:w="2176" w:type="pct"/>
            <w:gridSpan w:val="2"/>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机遇与挑战：国际传播视域下中华传统文化的中国化表征和跨文化表达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7"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3</w:t>
            </w:r>
          </w:p>
        </w:tc>
        <w:tc>
          <w:tcPr>
            <w:tcW w:w="569"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肖旺</w:t>
            </w:r>
          </w:p>
        </w:tc>
        <w:tc>
          <w:tcPr>
            <w:tcW w:w="986"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湖南科技大学</w:t>
            </w:r>
          </w:p>
        </w:tc>
        <w:tc>
          <w:tcPr>
            <w:tcW w:w="980"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小学教育</w:t>
            </w:r>
          </w:p>
        </w:tc>
        <w:tc>
          <w:tcPr>
            <w:tcW w:w="2176" w:type="pct"/>
            <w:gridSpan w:val="2"/>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守正创新勇担使命，合力奏响文化强音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7"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4</w:t>
            </w:r>
          </w:p>
        </w:tc>
        <w:tc>
          <w:tcPr>
            <w:tcW w:w="569"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李格朵</w:t>
            </w:r>
          </w:p>
        </w:tc>
        <w:tc>
          <w:tcPr>
            <w:tcW w:w="986"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湖南科技大学</w:t>
            </w:r>
          </w:p>
        </w:tc>
        <w:tc>
          <w:tcPr>
            <w:tcW w:w="980"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中国语言文学</w:t>
            </w:r>
          </w:p>
        </w:tc>
        <w:tc>
          <w:tcPr>
            <w:tcW w:w="2176" w:type="pct"/>
            <w:gridSpan w:val="2"/>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《瞿秋白学术思想的特点及其影响》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7"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5</w:t>
            </w:r>
          </w:p>
        </w:tc>
        <w:tc>
          <w:tcPr>
            <w:tcW w:w="569"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于静怡</w:t>
            </w:r>
          </w:p>
        </w:tc>
        <w:tc>
          <w:tcPr>
            <w:tcW w:w="986"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长沙理工大学</w:t>
            </w:r>
          </w:p>
        </w:tc>
        <w:tc>
          <w:tcPr>
            <w:tcW w:w="980"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新闻与传播</w:t>
            </w:r>
          </w:p>
        </w:tc>
        <w:tc>
          <w:tcPr>
            <w:tcW w:w="2176" w:type="pct"/>
            <w:gridSpan w:val="2"/>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数智时代短视频助力中华民族现代文明国际传播的内在逻辑与体系再造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7"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6</w:t>
            </w:r>
          </w:p>
        </w:tc>
        <w:tc>
          <w:tcPr>
            <w:tcW w:w="569"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刘璐婷</w:t>
            </w:r>
          </w:p>
        </w:tc>
        <w:tc>
          <w:tcPr>
            <w:tcW w:w="986"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湖南科技大学</w:t>
            </w:r>
          </w:p>
        </w:tc>
        <w:tc>
          <w:tcPr>
            <w:tcW w:w="980"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学科语文</w:t>
            </w:r>
          </w:p>
        </w:tc>
        <w:tc>
          <w:tcPr>
            <w:tcW w:w="2176" w:type="pct"/>
            <w:gridSpan w:val="2"/>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中华优秀传统文化进中学语文课程：价值旨归与融入逻辑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7"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7</w:t>
            </w:r>
          </w:p>
        </w:tc>
        <w:tc>
          <w:tcPr>
            <w:tcW w:w="569"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段可欣</w:t>
            </w:r>
          </w:p>
        </w:tc>
        <w:tc>
          <w:tcPr>
            <w:tcW w:w="986"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湖南师范大学</w:t>
            </w:r>
          </w:p>
        </w:tc>
        <w:tc>
          <w:tcPr>
            <w:tcW w:w="980" w:type="pct"/>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新闻与传播</w:t>
            </w:r>
          </w:p>
        </w:tc>
        <w:tc>
          <w:tcPr>
            <w:tcW w:w="2176" w:type="pct"/>
            <w:gridSpan w:val="2"/>
            <w:vAlign w:val="center"/>
          </w:tcPr>
          <w:p>
            <w:pPr>
              <w:spacing w:before="155" w:line="240" w:lineRule="auto"/>
              <w:ind w:firstLine="0" w:firstLineChars="0"/>
              <w:jc w:val="center"/>
              <w:rPr>
                <w:rFonts w:hint="eastAsia" w:ascii="Times New Roman" w:hAnsi="Times New Roman" w:eastAsia="仿宋" w:cs="Times New Roman"/>
                <w:snapToGrid/>
                <w:color w:val="auto"/>
                <w:sz w:val="24"/>
                <w:szCs w:val="24"/>
                <w:lang w:val="en-US" w:eastAsia="zh-CN"/>
              </w:rPr>
            </w:pPr>
            <w:r>
              <w:rPr>
                <w:rFonts w:hint="eastAsia" w:ascii="Times New Roman" w:hAnsi="Times New Roman" w:eastAsia="仿宋" w:cs="Times New Roman"/>
                <w:snapToGrid/>
                <w:color w:val="auto"/>
                <w:sz w:val="24"/>
                <w:szCs w:val="24"/>
                <w:lang w:val="en-US" w:eastAsia="zh-CN"/>
              </w:rPr>
              <w:t>国际传播中话语权的历史建构及体系再造</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湖南科技大学研究生院(部)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湖南科技大学人文学院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2024年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30</w:t>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101A9"/>
    <w:rsid w:val="21222440"/>
    <w:rsid w:val="2C5F1B45"/>
    <w:rsid w:val="34ED12A3"/>
    <w:rsid w:val="42B823CB"/>
    <w:rsid w:val="7F210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2024-09-09T09:04:00Z</dcterms:created>
  <dc:creator>三七</dc:creator>
  <cp:lastModifiedBy>三七</cp:lastModifiedBy>
  <dcterms:modified xsi:type="dcterms:W3CDTF">2024-09-12T05:02:16Z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